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294A" w14:textId="77777777" w:rsidR="00C84A66" w:rsidRPr="00C84A66" w:rsidRDefault="00C84A66" w:rsidP="00C84A66">
      <w:pPr>
        <w:widowControl w:val="0"/>
        <w:autoSpaceDE w:val="0"/>
        <w:autoSpaceDN w:val="0"/>
        <w:adjustRightInd w:val="0"/>
        <w:spacing w:after="0" w:line="276" w:lineRule="auto"/>
        <w:rPr>
          <w:rFonts w:ascii="Century Gothic" w:eastAsia="Times New Roman" w:hAnsi="Century Gothic" w:cs="Times New Roman"/>
          <w:b/>
          <w:bCs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Times New Roman"/>
          <w:b/>
          <w:bCs/>
          <w:kern w:val="0"/>
          <w:sz w:val="15"/>
          <w:szCs w:val="15"/>
          <w:lang w:eastAsia="pl-PL"/>
        </w:rPr>
        <w:t>INFORMACJA O ZASADACH PRZETWARZANIA DANYCH OSOBOWYCH</w:t>
      </w:r>
    </w:p>
    <w:p w14:paraId="05D0BF19" w14:textId="77777777" w:rsidR="00C84A66" w:rsidRPr="00C84A66" w:rsidRDefault="00C84A66" w:rsidP="00C84A6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  <w:t xml:space="preserve">TEMAT: 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>ZAWIERANIE UMÓW/ POROZUMIEŃ</w:t>
      </w:r>
    </w:p>
    <w:p w14:paraId="343FD2F0" w14:textId="77777777" w:rsidR="00C84A66" w:rsidRPr="00C84A66" w:rsidRDefault="00C84A66" w:rsidP="00C84A66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  <w:t xml:space="preserve">KOGO DOTYCZY </w:t>
      </w:r>
      <w:r w:rsidRPr="00C84A66"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15"/>
          <w:szCs w:val="15"/>
          <w:lang w:eastAsia="pl-PL"/>
        </w:rPr>
        <w:t>INFORMACJA:</w:t>
      </w:r>
      <w:r w:rsidRPr="00C84A66">
        <w:rPr>
          <w:rFonts w:ascii="Century Gothic" w:eastAsia="Times New Roman" w:hAnsi="Century Gothic" w:cs="Calibri"/>
          <w:color w:val="000000" w:themeColor="text1"/>
          <w:kern w:val="0"/>
          <w:sz w:val="15"/>
          <w:szCs w:val="15"/>
          <w:lang w:eastAsia="pl-PL"/>
        </w:rPr>
        <w:t xml:space="preserve"> STRONY UMOWY/ POROZUMIENIA, OSOBY REPREZENTUJĄCE STRONY, PEŁNOMOCNICY, OSOBY REALIZUJĄCE UMOWĘ/ POROZUMIENIE</w:t>
      </w:r>
    </w:p>
    <w:p w14:paraId="0F8C0527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15"/>
          <w:szCs w:val="15"/>
          <w:lang w:eastAsia="pl-PL"/>
        </w:rPr>
        <w:t>Kto wykorzystuje dane:</w:t>
      </w:r>
      <w:r w:rsidRPr="00C84A66">
        <w:rPr>
          <w:rFonts w:ascii="Century Gothic" w:eastAsia="Times New Roman" w:hAnsi="Century Gothic" w:cs="Calibri"/>
          <w:color w:val="000000" w:themeColor="text1"/>
          <w:kern w:val="0"/>
          <w:sz w:val="15"/>
          <w:szCs w:val="15"/>
          <w:lang w:eastAsia="pl-PL"/>
        </w:rPr>
        <w:t xml:space="preserve"> Burmistrz Boguchwały.</w:t>
      </w:r>
    </w:p>
    <w:p w14:paraId="09AE52FB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color w:val="000000" w:themeColor="text1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15"/>
          <w:szCs w:val="15"/>
          <w:lang w:eastAsia="pl-PL"/>
        </w:rPr>
        <w:t>Kontakt:</w:t>
      </w:r>
      <w:r w:rsidRPr="00C84A66">
        <w:rPr>
          <w:rFonts w:ascii="Times New Roman" w:eastAsia="Arial" w:hAnsi="Times New Roman" w:cs="Times New Roman"/>
          <w:kern w:val="0"/>
          <w:sz w:val="20"/>
          <w:szCs w:val="20"/>
          <w:lang w:eastAsia="pl-PL"/>
        </w:rPr>
        <w:t xml:space="preserve"> </w:t>
      </w:r>
      <w:r w:rsidRPr="00C84A6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36-040 Boguchwała, ul. Suszyckich 33 </w:t>
      </w:r>
      <w:r w:rsidRPr="00C84A66">
        <w:rPr>
          <w:rFonts w:ascii="Century Gothic" w:eastAsia="Arial" w:hAnsi="Century Gothic" w:cs="Times New Roman"/>
          <w:kern w:val="0"/>
          <w:sz w:val="11"/>
          <w:szCs w:val="11"/>
          <w:lang w:eastAsia="pl-PL"/>
        </w:rPr>
        <w:t xml:space="preserve"> </w:t>
      </w:r>
      <w:r w:rsidRPr="00C84A66">
        <w:rPr>
          <w:rFonts w:ascii="Century Gothic" w:eastAsia="Arial" w:hAnsi="Century Gothic" w:cs="Times New Roman"/>
          <w:kern w:val="0"/>
          <w:sz w:val="15"/>
          <w:szCs w:val="15"/>
          <w:lang w:eastAsia="pl-PL"/>
        </w:rPr>
        <w:t xml:space="preserve">tel. 17 875 52 00, e-mail:  </w:t>
      </w:r>
      <w:hyperlink r:id="rId5" w:history="1">
        <w:r w:rsidRPr="00C84A66">
          <w:rPr>
            <w:rFonts w:ascii="Century Gothic" w:eastAsia="Arial" w:hAnsi="Century Gothic" w:cs="Times New Roman"/>
            <w:color w:val="467886" w:themeColor="hyperlink"/>
            <w:kern w:val="0"/>
            <w:sz w:val="15"/>
            <w:szCs w:val="15"/>
            <w:u w:val="single"/>
            <w:lang w:eastAsia="pl-PL"/>
          </w:rPr>
          <w:t>um@boguchwala.pl</w:t>
        </w:r>
      </w:hyperlink>
      <w:r w:rsidRPr="00C84A66">
        <w:rPr>
          <w:rFonts w:ascii="Century Gothic" w:eastAsia="Arial" w:hAnsi="Century Gothic" w:cs="Times New Roman"/>
          <w:kern w:val="0"/>
          <w:sz w:val="15"/>
          <w:szCs w:val="15"/>
          <w:lang w:eastAsia="pl-PL"/>
        </w:rPr>
        <w:t xml:space="preserve"> </w:t>
      </w:r>
    </w:p>
    <w:p w14:paraId="7FB2284B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color w:val="000000" w:themeColor="text1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15"/>
          <w:szCs w:val="15"/>
          <w:lang w:eastAsia="pl-PL"/>
        </w:rPr>
        <w:t>Inspektor ochrony danych:</w:t>
      </w:r>
      <w:r w:rsidRPr="00C84A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</w:t>
      </w:r>
      <w:hyperlink r:id="rId6" w:history="1">
        <w:r w:rsidRPr="00C84A66">
          <w:rPr>
            <w:rFonts w:ascii="Times New Roman" w:eastAsia="Times New Roman" w:hAnsi="Times New Roman" w:cs="Times New Roman"/>
            <w:color w:val="467886" w:themeColor="hyperlink"/>
            <w:kern w:val="0"/>
            <w:sz w:val="16"/>
            <w:szCs w:val="16"/>
            <w:u w:val="single"/>
            <w:lang w:eastAsia="pl-PL"/>
          </w:rPr>
          <w:t>iod@boguchwala.pl</w:t>
        </w:r>
      </w:hyperlink>
      <w:r w:rsidRPr="00C84A6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 </w:t>
      </w:r>
      <w:r w:rsidRPr="00C84A66">
        <w:rPr>
          <w:rFonts w:ascii="Century Gothic" w:eastAsia="Times New Roman" w:hAnsi="Century Gothic" w:cs="Calibri"/>
          <w:color w:val="000000" w:themeColor="text1"/>
          <w:kern w:val="0"/>
          <w:sz w:val="11"/>
          <w:szCs w:val="11"/>
          <w:lang w:eastAsia="pl-PL"/>
        </w:rPr>
        <w:t xml:space="preserve">   </w:t>
      </w:r>
    </w:p>
    <w:p w14:paraId="70C0BF87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color w:val="000000" w:themeColor="text1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15"/>
          <w:szCs w:val="15"/>
          <w:lang w:eastAsia="pl-PL"/>
        </w:rPr>
        <w:t>Cel wykorzystania danych:</w:t>
      </w:r>
      <w:r w:rsidRPr="00C84A66">
        <w:rPr>
          <w:rFonts w:ascii="Century Gothic" w:eastAsia="Times New Roman" w:hAnsi="Century Gothic" w:cs="Calibri"/>
          <w:color w:val="000000" w:themeColor="text1"/>
          <w:kern w:val="0"/>
          <w:sz w:val="15"/>
          <w:szCs w:val="15"/>
          <w:lang w:eastAsia="pl-PL"/>
        </w:rPr>
        <w:t xml:space="preserve"> wykonanie Umowy/ Porozumienia pomiędzy Gminą Boguchwała i Wojewódzkim Funduszem Ochrony Środowiska i Gospodarki Wodnej w Rzeszowie, ustalenie warunków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>; zawarcie i wykonanie umowy/ porozumienia; prowadzenie rachunkowości; ustalenie i dochodzenie roszczeń oraz obrona przed roszczeniami związanymi z niewykonaniem lub nienależytym wykonaniem umowy/ porozumienia</w:t>
      </w:r>
    </w:p>
    <w:p w14:paraId="2D8088AB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  <w:t>Podstawa prawna: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 xml:space="preserve"> </w:t>
      </w:r>
    </w:p>
    <w:p w14:paraId="3707CDE1" w14:textId="77777777" w:rsidR="00C84A66" w:rsidRPr="00C84A66" w:rsidRDefault="00C84A66" w:rsidP="00C84A6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kern w:val="0"/>
          <w:sz w:val="15"/>
          <w:szCs w:val="15"/>
          <w:u w:val="single"/>
          <w:lang w:eastAsia="pl-PL"/>
        </w:rPr>
        <w:t>Ustalenie warunków umownych, zawarcie i wykonanie umowy/ porozumienia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 xml:space="preserve"> – art. 6. ust. 1 lit. b) RODO w zw. z przepisami Ustawy z dnia 23 kwietnia 1964 r. Kodeks cywilny.</w:t>
      </w:r>
    </w:p>
    <w:p w14:paraId="41720EB3" w14:textId="77777777" w:rsidR="00C84A66" w:rsidRPr="00C84A66" w:rsidRDefault="00C84A66" w:rsidP="00C84A6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kern w:val="0"/>
          <w:sz w:val="15"/>
          <w:szCs w:val="15"/>
          <w:u w:val="single"/>
          <w:lang w:eastAsia="pl-PL"/>
        </w:rPr>
        <w:t>Prowadzenie rachunkowości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 xml:space="preserve"> – art. 6 ust. 1. lit. c) RODO w zw. z przepisami Ustawy z dnia z dnia 29 września 1994 r. o rachunkowości</w:t>
      </w:r>
    </w:p>
    <w:p w14:paraId="4FAABA53" w14:textId="77777777" w:rsidR="00C84A66" w:rsidRPr="00C84A66" w:rsidRDefault="00C84A66" w:rsidP="00C84A6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kern w:val="0"/>
          <w:sz w:val="15"/>
          <w:szCs w:val="15"/>
          <w:u w:val="single"/>
          <w:lang w:eastAsia="pl-PL"/>
        </w:rPr>
        <w:t>Ustalenie i dochodzenie roszczeń oraz obrona przed roszczeniami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 xml:space="preserve"> – art. 6 ust. 1 lit. e) RODO w zw. z przepisami Ustawy z dnia 23 kwietnia 1964 r. Kodeks cywilny.</w:t>
      </w:r>
    </w:p>
    <w:p w14:paraId="63BADF10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  <w:t xml:space="preserve">Skąd pochodzą dane osobowe: 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>zostały wzajemnie udostępnione sobie przez strony zawierające umowę/ porozumienie.</w:t>
      </w:r>
    </w:p>
    <w:p w14:paraId="130C4BA5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  <w:t>Dane osobowe podlegające wykorzystaniu: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4740"/>
        <w:gridCol w:w="2900"/>
      </w:tblGrid>
      <w:tr w:rsidR="00C84A66" w:rsidRPr="00C84A66" w14:paraId="07ECDE52" w14:textId="77777777" w:rsidTr="00413FF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9BEC2D2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  <w:t>OSOBY, KTÓRYCH DANE DOTYCZĄ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644CFE1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  <w:t>DANE WYKORZYSTYWANE W ZWIĄZKU Z ZAWARTĄ UMOWĄ/ POROZUMIENIEM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18E79932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  <w:t>SKĄD POCHODZĄ DANE</w:t>
            </w:r>
          </w:p>
        </w:tc>
      </w:tr>
      <w:tr w:rsidR="00C84A66" w:rsidRPr="00C84A66" w14:paraId="74A9F05A" w14:textId="77777777" w:rsidTr="00413FF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AA63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  <w:t xml:space="preserve">Strony umowy/ porozumienia </w:t>
            </w:r>
            <w:r w:rsidRPr="00C84A66"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  <w:br/>
            </w: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(w przypadku osób fizycznych)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4D16" w14:textId="77777777" w:rsidR="00C84A66" w:rsidRPr="00C84A66" w:rsidRDefault="00C84A66" w:rsidP="00C84A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Podstawowe dane identyfikacyjne (np. imię i nazwisko, firma)</w:t>
            </w:r>
          </w:p>
          <w:p w14:paraId="745C3CE0" w14:textId="77777777" w:rsidR="00C84A66" w:rsidRPr="00C84A66" w:rsidRDefault="00C84A66" w:rsidP="00C84A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Dane identyfikacyjne przyznane przez organy publiczne (np. numer NIP, numer PESEL)</w:t>
            </w:r>
          </w:p>
          <w:p w14:paraId="11984F32" w14:textId="77777777" w:rsidR="00C84A66" w:rsidRPr="00C84A66" w:rsidRDefault="00C84A66" w:rsidP="00C84A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Dane kontaktowe (np. adres zamieszkania lub siedziby, adres e-mail, numer telefonu)</w:t>
            </w:r>
          </w:p>
          <w:p w14:paraId="1B22E158" w14:textId="77777777" w:rsidR="00C84A66" w:rsidRPr="00C84A66" w:rsidRDefault="00C84A66" w:rsidP="00C84A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Dane finansowe (np. numery rachunków płatniczych)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2BBEF1" w14:textId="77777777" w:rsidR="00C84A66" w:rsidRPr="00C84A66" w:rsidRDefault="00C84A66" w:rsidP="00C84A6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Udostępnione wzajemnie przez strony zawierające umowę/ porozumienie </w:t>
            </w:r>
          </w:p>
          <w:p w14:paraId="3D48F273" w14:textId="77777777" w:rsidR="00C84A66" w:rsidRPr="00C84A66" w:rsidRDefault="00C84A66" w:rsidP="00C84A6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Publicznie dostępne bazy danych: KRS, CEIDG, VIES oraz Biała Lista Podatników VAT</w:t>
            </w:r>
          </w:p>
          <w:p w14:paraId="328A09E2" w14:textId="77777777" w:rsidR="00C84A66" w:rsidRPr="00C84A66" w:rsidRDefault="00C84A66" w:rsidP="00C84A6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biura informacji gospodarczej</w:t>
            </w:r>
          </w:p>
        </w:tc>
      </w:tr>
      <w:tr w:rsidR="00C84A66" w:rsidRPr="00C84A66" w14:paraId="4791B70E" w14:textId="77777777" w:rsidTr="00413FF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90F3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  <w:t>Osoby reprezentujące strony</w:t>
            </w:r>
            <w:r w:rsidRPr="00C84A66"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  <w:br/>
            </w: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(przedstawiciele ustawowi)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959D" w14:textId="77777777" w:rsidR="00C84A66" w:rsidRPr="00C84A66" w:rsidRDefault="00C84A66" w:rsidP="00C84A6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Podstawowe dane identyfikacyjne (np. imię i nazwisko)</w:t>
            </w:r>
          </w:p>
          <w:p w14:paraId="07AF91FD" w14:textId="77777777" w:rsidR="00C84A66" w:rsidRPr="00C84A66" w:rsidRDefault="00C84A66" w:rsidP="00C84A6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Dane identyfikacyjne przyznane przez organy publiczne (np. numer PESEL)</w:t>
            </w:r>
          </w:p>
          <w:p w14:paraId="75804464" w14:textId="77777777" w:rsidR="00C84A66" w:rsidRPr="00C84A66" w:rsidRDefault="00C84A66" w:rsidP="00C84A6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Dane dot. zatrudnienia (np. miejsce pracy, stanowisko służbowe)</w:t>
            </w:r>
          </w:p>
          <w:p w14:paraId="54CC93FB" w14:textId="77777777" w:rsidR="00C84A66" w:rsidRPr="00C84A66" w:rsidRDefault="00C84A66" w:rsidP="00C84A6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Dane kontaktowe (np. adres e-mail, numer telefonu)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55F480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Udostępnione wzajemnie przez strony zawierające umowę/ porozumienie.</w:t>
            </w:r>
          </w:p>
        </w:tc>
      </w:tr>
      <w:tr w:rsidR="00C84A66" w:rsidRPr="00C84A66" w14:paraId="3C128A0C" w14:textId="77777777" w:rsidTr="00413FF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64C9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  <w:t>Pełnomocnicy</w:t>
            </w:r>
            <w:r w:rsidRPr="00C84A66"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  <w:br/>
            </w: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(w tym prokurenci)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3E8B" w14:textId="77777777" w:rsidR="00C84A66" w:rsidRPr="00C84A66" w:rsidRDefault="00C84A66" w:rsidP="00C84A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Podstawowe dane identyfikacyjne (np. imię i nazwisko)</w:t>
            </w:r>
          </w:p>
          <w:p w14:paraId="01FF5E4D" w14:textId="77777777" w:rsidR="00C84A66" w:rsidRPr="00C84A66" w:rsidRDefault="00C84A66" w:rsidP="00C84A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Dane identyfikacyjne przyznane przez organy publiczne (np. numer PESEL)</w:t>
            </w:r>
          </w:p>
          <w:p w14:paraId="3CD15091" w14:textId="77777777" w:rsidR="00C84A66" w:rsidRPr="00C84A66" w:rsidRDefault="00C84A66" w:rsidP="00C84A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Dane dot. zatrudnienia (np. miejsce pracy, stanowisko służbowe)</w:t>
            </w:r>
          </w:p>
          <w:p w14:paraId="450CA50B" w14:textId="77777777" w:rsidR="00C84A66" w:rsidRPr="00C84A66" w:rsidRDefault="00C84A66" w:rsidP="00C84A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Dane kontaktowe (np. adres e-mail, numer telefonu)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2463BA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Udostępnione wzajemnie przez strony zawierające umowę/ porozumienie.</w:t>
            </w:r>
          </w:p>
        </w:tc>
      </w:tr>
      <w:tr w:rsidR="00C84A66" w:rsidRPr="00C84A66" w14:paraId="6208436A" w14:textId="77777777" w:rsidTr="00413FF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46C008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  <w:t>Osoby realizujące umowę/ porozumienie</w:t>
            </w:r>
            <w:r w:rsidRPr="00C84A66"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  <w:br/>
            </w: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(osoby wyznaczone do wykonania zlecenia lub usługi)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41CC4B" w14:textId="77777777" w:rsidR="00C84A66" w:rsidRPr="00C84A66" w:rsidRDefault="00C84A66" w:rsidP="00C84A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Podstawowe dane identyfikacyjne (np. imię i nazwisko)</w:t>
            </w:r>
          </w:p>
          <w:p w14:paraId="56474DD5" w14:textId="77777777" w:rsidR="00C84A66" w:rsidRPr="00C84A66" w:rsidRDefault="00C84A66" w:rsidP="00C84A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Dane dot. zatrudnienia (np. miejsce pracy, stanowisko służbowe)</w:t>
            </w:r>
          </w:p>
          <w:p w14:paraId="0881D680" w14:textId="77777777" w:rsidR="00C84A66" w:rsidRPr="00C84A66" w:rsidRDefault="00C84A66" w:rsidP="00C84A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Dane kontaktowe (np. adres e-mail, numer telefonu)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0E921C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>Udostępnione wzajemnie przez strony zawierające umowę/ porozumienie</w:t>
            </w:r>
          </w:p>
        </w:tc>
      </w:tr>
    </w:tbl>
    <w:p w14:paraId="720F3476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  <w:t xml:space="preserve">Kto otrzyma dane: 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>dostawca programu do elektronicznego zarządzania dokumentacją; kancelarie adwokackie, radcowskie i doradztwa prawnego, którym zlecono świadczenie pomocy prawnej; w przypadku ewentualnego postępowania windykacyjnego – podmioty, którym zlecono windykację wierzytelności.</w:t>
      </w:r>
    </w:p>
    <w:p w14:paraId="4C5C95D7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4" w:lineRule="auto"/>
        <w:contextualSpacing/>
        <w:jc w:val="both"/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  <w:t>Okres przechowywania danych: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 xml:space="preserve"> dane osobowe będą przechowywane przez okres obowiązywania umowy/ porozumienia, a następnie przez 6 lat począwszy od dnia, w którym rozpoczyna się bieg przedawnienia roszczeń. Po upływie tych okresów dane osobowe zostaną usunięte. W pozostałym zakresie dane będą przechowywane zgodnie z Jednolitym Rzeczowym Wykazem Akt obowiązującym u Administratora danych.</w:t>
      </w:r>
    </w:p>
    <w:p w14:paraId="16ED466E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  <w:t>Dlaczego tak długo: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 xml:space="preserve"> przechowywanie danych przez czas obowiązywania umowy/ porozumienia jest niezbędne do jej wykonania. Przechowywanie danych po upływie okresu obowiązywania umowy/ porozumienia jest niezbędne do ustalenia i dochodzenia roszczeń oraz obrony przed roszczeniami w przypadku niewykonania lub nieprawidłowego wykonania umowy/ porozumienia. Termin przedawnienia roszczeń określono w art. 118. Ustawy z dnia 23 kwietnia 1964 r. Kodeks cywilny. Dzień, w którym rozpoczyna się bieg przedawnienia roszczeń ustala się na podstawie art. 120. Ustawy z dnia 23 kwietnia 1964 r. Kodeks cywilny. W pozostałym zakresie dane będą przechowywane zgodnie z Jednolitym Rzeczowym Wykazem Akt obowiązującym u Administratora danych.</w:t>
      </w:r>
    </w:p>
    <w:p w14:paraId="27B39DF7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  <w:lastRenderedPageBreak/>
        <w:t>Przysługujące prawa: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2370"/>
        <w:gridCol w:w="3671"/>
        <w:gridCol w:w="1393"/>
      </w:tblGrid>
      <w:tr w:rsidR="00C84A66" w:rsidRPr="00C84A66" w14:paraId="732ECA09" w14:textId="77777777" w:rsidTr="00413FF7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0BFC275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793BF0C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A150036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62B5CAB7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JAK SKORZYSTAĆ</w:t>
            </w:r>
          </w:p>
        </w:tc>
      </w:tr>
      <w:tr w:rsidR="00C84A66" w:rsidRPr="00C84A66" w14:paraId="40A79CD1" w14:textId="77777777" w:rsidTr="00413FF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A943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620E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Prawo do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uzyskania informacji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o tym czy Administrator dysponuje danymi zainteresowanej osoby, jakie są to dane oraz jak są wykorzystywane.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Informacje przekazuje się w 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9072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>Prawo dostępu do danych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 xml:space="preserve"> nie polega na przekazaniu kopii dokumentacji. 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Dostęp do niektórych informacji może być ograniczony, jeżeli ich udzielenie może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niekorzystnie wpłynąć na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prawa i wolności innych osób.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Przed udzieleniem dostępu do danych, Administrator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może żądać podania dodatkowych informacji,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jeżeli jest to konieczne do udzielenia dostępu lub do potwierdzenia tożsamości zainteresowanej osoby.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1F4BB0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>Złóż wniosek – dane kontaktowe znajdują się w punkcie 1. i 2.</w:t>
            </w:r>
          </w:p>
        </w:tc>
      </w:tr>
      <w:tr w:rsidR="00C84A66" w:rsidRPr="00C84A66" w14:paraId="380E52E3" w14:textId="77777777" w:rsidTr="00413FF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DDC2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4187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Prawo do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poprawiania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nieprawidłowych danych,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aktualizacji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nieaktualnych oraz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uzupełniania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C12C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406277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>Złóż wniosek – dane kontaktowe znajdują się w punkcie 1. i 2.</w:t>
            </w:r>
          </w:p>
        </w:tc>
      </w:tr>
      <w:tr w:rsidR="00C84A66" w:rsidRPr="00C84A66" w14:paraId="7BB155B1" w14:textId="77777777" w:rsidTr="00413FF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AF46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DDFB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>Prawo do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 xml:space="preserve"> bycia zapomnianym – 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żądania, by dane dotyczące zainteresowanej osoby zostały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BFF3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Przysługuje wyłącznie, gdy: dane zainteresowanej osoby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nie są już potrzebne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lub są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wykorzystywane niezgodnie z prawem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albo w konkretnym przypadku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7697FB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>Złóż wniosek – dane kontaktowe znajdują się w punkcie 1. i 2.</w:t>
            </w:r>
          </w:p>
        </w:tc>
      </w:tr>
      <w:tr w:rsidR="00C84A66" w:rsidRPr="00C84A66" w14:paraId="3DB46B2E" w14:textId="77777777" w:rsidTr="00413FF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5B83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A64D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BF86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Przysługuje wyłącznie, gdy: zainteresowana osoba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kwestionuje prawidłowość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swoich danych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lub jeśli jej dane są wykorzystywane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niezgodnie z prawem lecz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 xml:space="preserve">zainteresowana osoba sprzeciwia się ich usunięciu 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lub gdy dane zainteresowanej osoby nie są już potrzebne lecz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E85290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>Złóż wniosek – dane kontaktowe znajdują się w punkcie 1. i 2.</w:t>
            </w:r>
          </w:p>
        </w:tc>
      </w:tr>
      <w:tr w:rsidR="00C84A66" w:rsidRPr="00C84A66" w14:paraId="7FFA9065" w14:textId="77777777" w:rsidTr="00413FF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4D8089C5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57321E09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>Prawo do żądania, by zaprzestano wykorzystywania danych zainteresowanej osoby do realizacji interesów prawnych Administratora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38B72672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Przysługuje w związku z wykorzystywaniem danych osobowych w celu </w:t>
            </w:r>
            <w:r w:rsidRPr="00C84A66">
              <w:rPr>
                <w:rFonts w:ascii="Century Gothic" w:eastAsia="Times New Roman" w:hAnsi="Century Gothic" w:cs="Calibri"/>
                <w:b/>
                <w:bCs/>
                <w:sz w:val="15"/>
                <w:szCs w:val="15"/>
              </w:rPr>
              <w:t xml:space="preserve">składania zapytań ofertowych, minimalizacji ryzyka prawnego poprzez weryfikację podatnika, ustalenia i </w:t>
            </w:r>
            <w:r w:rsidRPr="00C84A66">
              <w:rPr>
                <w:rFonts w:ascii="Century Gothic" w:eastAsia="Times New Roman" w:hAnsi="Century Gothic" w:cs="Calibri"/>
                <w:b/>
                <w:bCs/>
                <w:iCs/>
                <w:sz w:val="15"/>
                <w:szCs w:val="15"/>
              </w:rPr>
              <w:t>dochodzenia roszczeń oraz obrony przed roszczeniami.</w:t>
            </w:r>
            <w:r w:rsidRPr="00C84A66"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Sprzeciw uwzględnia się z uwagi na szczególną sytuację danej osoby. Staranne uzasadnienie sprzeciwu może zwiększyć szansę na uznanie jego słuszności.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/>
            <w:vAlign w:val="center"/>
            <w:hideMark/>
          </w:tcPr>
          <w:p w14:paraId="654AC1D2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>Złóż wniosek – dane kontaktowe znajdują się w punkcie 1. i 2.</w:t>
            </w:r>
          </w:p>
        </w:tc>
      </w:tr>
      <w:tr w:rsidR="00C84A66" w:rsidRPr="00C84A66" w14:paraId="4333BD6C" w14:textId="77777777" w:rsidTr="00413FF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825D3D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3FD264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770903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Składając skargę należy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wskazać na kogo składa się skargę oraz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opisać na czym polega naruszenie</w:t>
            </w: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A1AB41" w14:textId="77777777" w:rsidR="00C84A66" w:rsidRPr="00C84A66" w:rsidRDefault="00C84A66" w:rsidP="00C84A66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Century Gothic" w:eastAsia="Times New Roman" w:hAnsi="Century Gothic" w:cs="Times New Roman"/>
                <w:sz w:val="15"/>
                <w:szCs w:val="15"/>
              </w:rPr>
            </w:pPr>
            <w:r w:rsidRPr="00C84A66">
              <w:rPr>
                <w:rFonts w:ascii="Century Gothic" w:eastAsia="Times New Roman" w:hAnsi="Century Gothic" w:cs="Times New Roman"/>
                <w:sz w:val="15"/>
                <w:szCs w:val="15"/>
              </w:rPr>
              <w:t>Skontaktuj się z </w:t>
            </w:r>
            <w:r w:rsidRPr="00C84A66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</w:rPr>
              <w:t>Urzędem Ochrony Danych Osobowych.</w:t>
            </w:r>
          </w:p>
        </w:tc>
      </w:tr>
    </w:tbl>
    <w:p w14:paraId="32F6A5C9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  <w:t>Czy podanie danych jest konieczne: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 xml:space="preserve"> tak – to warunek zawarcia umowy/ porozumienia.</w:t>
      </w:r>
    </w:p>
    <w:p w14:paraId="3B42E9C9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Times New Roman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Times New Roman"/>
          <w:b/>
          <w:bCs/>
          <w:kern w:val="0"/>
          <w:sz w:val="15"/>
          <w:szCs w:val="15"/>
          <w:lang w:eastAsia="pl-PL"/>
        </w:rPr>
        <w:t>Konsekwencje niepodania danych:</w:t>
      </w:r>
      <w:r w:rsidRPr="00C84A66">
        <w:rPr>
          <w:rFonts w:ascii="Century Gothic" w:eastAsia="Times New Roman" w:hAnsi="Century Gothic" w:cs="Times New Roman"/>
          <w:kern w:val="0"/>
          <w:sz w:val="15"/>
          <w:szCs w:val="15"/>
          <w:lang w:eastAsia="pl-PL"/>
        </w:rPr>
        <w:t xml:space="preserve"> rezygnacja z zamiaru zawarcia umowy/ porozumienia lub odstąpienie od zawartej umowy/ porozumienia.</w:t>
      </w:r>
    </w:p>
    <w:p w14:paraId="110F8EBA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  <w:t>Zautomatyzowane podejmowanie decyzji: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 xml:space="preserve"> nie dotyczy.</w:t>
      </w:r>
    </w:p>
    <w:p w14:paraId="1CE32CB8" w14:textId="77777777" w:rsidR="00C84A66" w:rsidRPr="00C84A66" w:rsidRDefault="00C84A66" w:rsidP="00C84A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</w:pPr>
      <w:r w:rsidRPr="00C84A66">
        <w:rPr>
          <w:rFonts w:ascii="Century Gothic" w:eastAsia="Times New Roman" w:hAnsi="Century Gothic" w:cs="Calibri"/>
          <w:b/>
          <w:bCs/>
          <w:kern w:val="0"/>
          <w:sz w:val="15"/>
          <w:szCs w:val="15"/>
          <w:lang w:eastAsia="pl-PL"/>
        </w:rPr>
        <w:t>Profilowanie:</w:t>
      </w:r>
      <w:r w:rsidRPr="00C84A66">
        <w:rPr>
          <w:rFonts w:ascii="Century Gothic" w:eastAsia="Times New Roman" w:hAnsi="Century Gothic" w:cs="Calibri"/>
          <w:kern w:val="0"/>
          <w:sz w:val="15"/>
          <w:szCs w:val="15"/>
          <w:lang w:eastAsia="pl-PL"/>
        </w:rPr>
        <w:t xml:space="preserve"> nie dotyczy.</w:t>
      </w:r>
    </w:p>
    <w:p w14:paraId="52375CB2" w14:textId="77777777" w:rsidR="00C84A66" w:rsidRPr="00C84A66" w:rsidRDefault="00C84A66" w:rsidP="00C84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30EBE7F0" w14:textId="77777777" w:rsidR="00C84A66" w:rsidRPr="00C84A66" w:rsidRDefault="00C84A66" w:rsidP="00C84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00234B3B" w14:textId="77777777" w:rsidR="00D17B2C" w:rsidRDefault="00D17B2C"/>
    <w:sectPr w:rsidR="00D1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14E6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74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4346F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AB56CE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305E5A"/>
    <w:multiLevelType w:val="multilevel"/>
    <w:tmpl w:val="F488AF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2634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8915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567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49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0320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082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66"/>
    <w:rsid w:val="0018654C"/>
    <w:rsid w:val="0039496E"/>
    <w:rsid w:val="00C84A66"/>
    <w:rsid w:val="00D1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DC44"/>
  <w15:chartTrackingRefBased/>
  <w15:docId w15:val="{5AB0848F-69E3-4EC3-9AE2-F59BE2E0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4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4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4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4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4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4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4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4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4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4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4A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4A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4A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4A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4A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4A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4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4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4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4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4A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4A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4A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4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4A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4A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oguchwala.p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um@boguchwala.p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20" ma:contentTypeDescription="Utwórz nowy dokument." ma:contentTypeScope="" ma:versionID="383989a3fced9c23ffa85fd127a41d84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d747847c31eeb6423f0bc6b410e23660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01cb44-65e7-4657-9eb9-76d5b9209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e4c9a5-5157-4b5a-84bf-15422016f743}" ma:internalName="TaxCatchAll" ma:showField="CatchAllData" ma:web="437d8438-f39e-4bdc-ad7f-581ba331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d8438-f39e-4bdc-ad7f-581ba33153a4" xsi:nil="true"/>
    <lcf76f155ced4ddcb4097134ff3c332f xmlns="7af96e2e-51ac-493e-abee-af41d1278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38D909-BA0A-4636-B873-923DA0949F76}"/>
</file>

<file path=customXml/itemProps2.xml><?xml version="1.0" encoding="utf-8"?>
<ds:datastoreItem xmlns:ds="http://schemas.openxmlformats.org/officeDocument/2006/customXml" ds:itemID="{1D0BD63E-E9FD-4212-92E5-1414F97C58E9}"/>
</file>

<file path=customXml/itemProps3.xml><?xml version="1.0" encoding="utf-8"?>
<ds:datastoreItem xmlns:ds="http://schemas.openxmlformats.org/officeDocument/2006/customXml" ds:itemID="{CE7A37E2-9EE3-49AF-8BA5-532A514F4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1108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</dc:creator>
  <cp:keywords/>
  <dc:description/>
  <cp:lastModifiedBy>Marcin Lis</cp:lastModifiedBy>
  <cp:revision>1</cp:revision>
  <dcterms:created xsi:type="dcterms:W3CDTF">2025-03-25T14:02:00Z</dcterms:created>
  <dcterms:modified xsi:type="dcterms:W3CDTF">2025-03-25T14:03:00Z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</Properties>
</file>